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B16" w:rsidRDefault="00D217E9" w:rsidP="007C1B16">
      <w:pPr>
        <w:pStyle w:val="StandardWeb"/>
        <w:spacing w:before="0" w:beforeAutospacing="0" w:after="0" w:afterAutospacing="0"/>
        <w:rPr>
          <w:rFonts w:eastAsiaTheme="minorEastAsia"/>
          <w:b/>
          <w:bCs/>
          <w:color w:val="000000" w:themeColor="text1"/>
          <w:kern w:val="24"/>
        </w:rPr>
      </w:pPr>
      <w:r>
        <w:rPr>
          <w:rFonts w:eastAsiaTheme="minorEastAsia"/>
          <w:b/>
          <w:bCs/>
          <w:color w:val="000000" w:themeColor="text1"/>
          <w:kern w:val="24"/>
        </w:rPr>
        <w:t>Towards a</w:t>
      </w:r>
      <w:r w:rsidR="003A1A69">
        <w:rPr>
          <w:rFonts w:eastAsiaTheme="minorEastAsia"/>
          <w:b/>
          <w:bCs/>
          <w:color w:val="000000" w:themeColor="text1"/>
          <w:kern w:val="24"/>
        </w:rPr>
        <w:t xml:space="preserve"> Robust and Near-Absolute</w:t>
      </w:r>
      <w:r>
        <w:rPr>
          <w:rFonts w:eastAsiaTheme="minorEastAsia"/>
          <w:b/>
          <w:bCs/>
          <w:color w:val="000000" w:themeColor="text1"/>
          <w:kern w:val="24"/>
        </w:rPr>
        <w:t xml:space="preserve"> Anatolian </w:t>
      </w:r>
      <w:r w:rsidR="003A1A69">
        <w:rPr>
          <w:rFonts w:eastAsiaTheme="minorEastAsia"/>
          <w:b/>
          <w:bCs/>
          <w:color w:val="000000" w:themeColor="text1"/>
          <w:kern w:val="24"/>
        </w:rPr>
        <w:t xml:space="preserve">Middle Bronze Age </w:t>
      </w:r>
      <w:r>
        <w:rPr>
          <w:rFonts w:eastAsiaTheme="minorEastAsia"/>
          <w:b/>
          <w:bCs/>
          <w:color w:val="000000" w:themeColor="text1"/>
          <w:kern w:val="24"/>
        </w:rPr>
        <w:t>Tree-Ring Record: R</w:t>
      </w:r>
      <w:r w:rsidR="00C02E30">
        <w:rPr>
          <w:rFonts w:eastAsiaTheme="minorEastAsia"/>
          <w:b/>
          <w:bCs/>
          <w:color w:val="000000" w:themeColor="text1"/>
          <w:kern w:val="24"/>
        </w:rPr>
        <w:t>esolving Mesopotamian Chronology and the Dating of the Assyrian Colony Period in Anatolia</w:t>
      </w:r>
      <w:r>
        <w:rPr>
          <w:rFonts w:eastAsiaTheme="minorEastAsia"/>
          <w:b/>
          <w:bCs/>
          <w:color w:val="000000" w:themeColor="text1"/>
          <w:kern w:val="24"/>
        </w:rPr>
        <w:t xml:space="preserve"> through the Integration of</w:t>
      </w:r>
      <w:r w:rsidR="00C02E30">
        <w:rPr>
          <w:rFonts w:eastAsiaTheme="minorEastAsia"/>
          <w:b/>
          <w:bCs/>
          <w:color w:val="000000" w:themeColor="text1"/>
          <w:kern w:val="24"/>
        </w:rPr>
        <w:t xml:space="preserve"> </w:t>
      </w:r>
      <w:r>
        <w:rPr>
          <w:rFonts w:eastAsiaTheme="minorEastAsia"/>
          <w:b/>
          <w:bCs/>
          <w:color w:val="000000" w:themeColor="text1"/>
          <w:kern w:val="24"/>
        </w:rPr>
        <w:t xml:space="preserve">Dendrochronology </w:t>
      </w:r>
      <w:r w:rsidR="00C02E30">
        <w:rPr>
          <w:rFonts w:eastAsiaTheme="minorEastAsia"/>
          <w:b/>
          <w:bCs/>
          <w:color w:val="000000" w:themeColor="text1"/>
          <w:kern w:val="24"/>
        </w:rPr>
        <w:t>and Radiocarbon Dating</w:t>
      </w:r>
    </w:p>
    <w:p w:rsidR="00C02E30" w:rsidRDefault="00C02E30" w:rsidP="007C1B16">
      <w:pPr>
        <w:pStyle w:val="StandardWeb"/>
        <w:spacing w:before="0" w:beforeAutospacing="0" w:after="0" w:afterAutospacing="0"/>
        <w:rPr>
          <w:rFonts w:eastAsiaTheme="minorEastAsia"/>
          <w:b/>
          <w:bCs/>
          <w:color w:val="000000" w:themeColor="text1"/>
          <w:kern w:val="24"/>
        </w:rPr>
      </w:pPr>
    </w:p>
    <w:p w:rsidR="00C02E30" w:rsidRDefault="00C02E30" w:rsidP="007C1B16">
      <w:pPr>
        <w:pStyle w:val="StandardWeb"/>
        <w:spacing w:before="0" w:beforeAutospacing="0" w:after="0" w:afterAutospacing="0"/>
        <w:rPr>
          <w:rFonts w:eastAsiaTheme="minorEastAsia"/>
          <w:b/>
          <w:bCs/>
          <w:color w:val="000000" w:themeColor="text1"/>
          <w:kern w:val="24"/>
        </w:rPr>
      </w:pPr>
    </w:p>
    <w:p w:rsidR="00C02E30" w:rsidRDefault="00C02E30" w:rsidP="007C1B16">
      <w:pPr>
        <w:pStyle w:val="StandardWeb"/>
        <w:spacing w:before="0" w:beforeAutospacing="0" w:after="0" w:afterAutospacing="0"/>
        <w:rPr>
          <w:rFonts w:eastAsiaTheme="minorEastAsia"/>
          <w:bCs/>
          <w:color w:val="000000" w:themeColor="text1"/>
          <w:kern w:val="24"/>
        </w:rPr>
      </w:pPr>
      <w:r w:rsidRPr="00C02E30">
        <w:rPr>
          <w:rFonts w:eastAsiaTheme="minorEastAsia"/>
          <w:bCs/>
          <w:color w:val="000000" w:themeColor="text1"/>
          <w:kern w:val="24"/>
        </w:rPr>
        <w:t>Sturt Manning, Cornell University</w:t>
      </w:r>
    </w:p>
    <w:p w:rsidR="00C02E30" w:rsidRPr="00C02E30" w:rsidRDefault="00C02E30" w:rsidP="007C1B16">
      <w:pPr>
        <w:pStyle w:val="StandardWeb"/>
        <w:spacing w:before="0" w:beforeAutospacing="0" w:after="0" w:afterAutospacing="0"/>
        <w:rPr>
          <w:rFonts w:eastAsiaTheme="minorEastAsia"/>
          <w:bCs/>
          <w:color w:val="000000" w:themeColor="text1"/>
          <w:kern w:val="24"/>
        </w:rPr>
      </w:pPr>
    </w:p>
    <w:p w:rsidR="00D217E9" w:rsidRDefault="00D217E9" w:rsidP="007C1B16">
      <w:pPr>
        <w:pStyle w:val="Paragraph"/>
        <w:spacing w:before="0" w:line="480" w:lineRule="auto"/>
        <w:ind w:firstLine="0"/>
        <w:rPr>
          <w:rFonts w:eastAsia="Calibri"/>
        </w:rPr>
      </w:pPr>
    </w:p>
    <w:p w:rsidR="0041405A" w:rsidRDefault="0041405A" w:rsidP="0041405A">
      <w:pPr>
        <w:pStyle w:val="Paragraph"/>
        <w:spacing w:before="0"/>
        <w:ind w:firstLine="0"/>
        <w:rPr>
          <w:rFonts w:eastAsia="Calibri"/>
        </w:rPr>
      </w:pPr>
      <w:r>
        <w:rPr>
          <w:rFonts w:eastAsia="Calibri"/>
        </w:rPr>
        <w:t xml:space="preserve">Part 1: the problem. </w:t>
      </w:r>
      <w:r w:rsidR="00D217E9">
        <w:rPr>
          <w:rFonts w:eastAsia="Calibri"/>
        </w:rPr>
        <w:t xml:space="preserve">Previously published work has claimed the existence of a </w:t>
      </w:r>
      <w:proofErr w:type="spellStart"/>
      <w:r w:rsidR="00D217E9" w:rsidRPr="00C915E4">
        <w:rPr>
          <w:rFonts w:eastAsia="Calibri"/>
          <w:i/>
        </w:rPr>
        <w:t>Juniperus</w:t>
      </w:r>
      <w:proofErr w:type="spellEnd"/>
      <w:r w:rsidR="00D217E9">
        <w:rPr>
          <w:rFonts w:eastAsia="Calibri"/>
        </w:rPr>
        <w:t xml:space="preserve"> sp. based </w:t>
      </w:r>
      <w:r>
        <w:rPr>
          <w:rFonts w:eastAsia="Calibri"/>
        </w:rPr>
        <w:t>tree-ring</w:t>
      </w:r>
      <w:r w:rsidR="00D217E9">
        <w:rPr>
          <w:rFonts w:eastAsia="Calibri"/>
        </w:rPr>
        <w:t xml:space="preserve"> record relevant to archaeological dating from central Anatolia covering the period from at least the later 3</w:t>
      </w:r>
      <w:r w:rsidR="00D217E9" w:rsidRPr="00C915E4">
        <w:rPr>
          <w:rFonts w:eastAsia="Calibri"/>
          <w:vertAlign w:val="superscript"/>
        </w:rPr>
        <w:t>rd</w:t>
      </w:r>
      <w:r w:rsidR="00D217E9">
        <w:rPr>
          <w:rFonts w:eastAsia="Calibri"/>
        </w:rPr>
        <w:t xml:space="preserve"> millennium BC through to the earlier 1</w:t>
      </w:r>
      <w:r w:rsidR="00D217E9" w:rsidRPr="00C915E4">
        <w:rPr>
          <w:rFonts w:eastAsia="Calibri"/>
          <w:vertAlign w:val="superscript"/>
        </w:rPr>
        <w:t>st</w:t>
      </w:r>
      <w:r w:rsidR="00D217E9">
        <w:rPr>
          <w:rFonts w:eastAsia="Calibri"/>
        </w:rPr>
        <w:t xml:space="preserve"> millennium BC. Unfortunately, this claim is not correct for the period before the mid-second millennium BC. Critical re-examination of the tree-ring evidence and the linkages claimed between the individual tree-ring chronologies built from timbers at each of several archaeological sites indicates that some key assumptions or best guesses were made in previous work and that in each key case these assumptions or best guesses are demonstrably incorrect and/or inappropria</w:t>
      </w:r>
      <w:r>
        <w:rPr>
          <w:rFonts w:eastAsia="Calibri"/>
        </w:rPr>
        <w:t>te. This talk explores what went</w:t>
      </w:r>
      <w:r w:rsidR="00D217E9">
        <w:rPr>
          <w:rFonts w:eastAsia="Calibri"/>
        </w:rPr>
        <w:t xml:space="preserve"> wrong, and why. </w:t>
      </w:r>
    </w:p>
    <w:p w:rsidR="0041405A" w:rsidRDefault="0041405A" w:rsidP="0041405A">
      <w:pPr>
        <w:pStyle w:val="Paragraph"/>
        <w:spacing w:before="0"/>
        <w:ind w:firstLine="0"/>
        <w:rPr>
          <w:rFonts w:eastAsia="Calibri"/>
        </w:rPr>
      </w:pPr>
    </w:p>
    <w:p w:rsidR="007C1B16" w:rsidRPr="00C02E30" w:rsidRDefault="0041405A" w:rsidP="003A1A69">
      <w:pPr>
        <w:pStyle w:val="Paragraph"/>
        <w:spacing w:before="0"/>
        <w:ind w:firstLine="0"/>
        <w:rPr>
          <w:rFonts w:eastAsia="Calibri"/>
        </w:rPr>
      </w:pPr>
      <w:r>
        <w:rPr>
          <w:rFonts w:eastAsia="Calibri"/>
        </w:rPr>
        <w:t xml:space="preserve">Part 2: the solution. </w:t>
      </w:r>
      <w:r w:rsidR="003A1A69">
        <w:rPr>
          <w:rFonts w:eastAsia="Calibri"/>
        </w:rPr>
        <w:t>Despite (and independent of) these problems, a</w:t>
      </w:r>
      <w:r>
        <w:rPr>
          <w:rFonts w:eastAsia="Calibri"/>
        </w:rPr>
        <w:t xml:space="preserve"> key robust Middle Bronze Age </w:t>
      </w:r>
      <w:r w:rsidR="003A1A69">
        <w:rPr>
          <w:rFonts w:eastAsia="Calibri"/>
        </w:rPr>
        <w:t xml:space="preserve">Anatolian </w:t>
      </w:r>
      <w:r>
        <w:rPr>
          <w:rFonts w:eastAsia="Calibri"/>
        </w:rPr>
        <w:t xml:space="preserve">dendrochronology </w:t>
      </w:r>
      <w:r w:rsidR="003A1A69">
        <w:rPr>
          <w:rFonts w:eastAsia="Calibri"/>
        </w:rPr>
        <w:t>can be demonstrated</w:t>
      </w:r>
      <w:r w:rsidR="001C10C8">
        <w:rPr>
          <w:rFonts w:eastAsia="Calibri"/>
        </w:rPr>
        <w:t>,</w:t>
      </w:r>
      <w:r>
        <w:rPr>
          <w:rFonts w:eastAsia="Calibri"/>
        </w:rPr>
        <w:t xml:space="preserve"> </w:t>
      </w:r>
      <w:r w:rsidR="001C10C8">
        <w:rPr>
          <w:rFonts w:eastAsia="Calibri"/>
        </w:rPr>
        <w:t>and this chronology</w:t>
      </w:r>
      <w:r w:rsidR="003A1A69">
        <w:rPr>
          <w:rFonts w:eastAsia="Calibri"/>
        </w:rPr>
        <w:t xml:space="preserve"> </w:t>
      </w:r>
      <w:r>
        <w:rPr>
          <w:rFonts w:eastAsia="Calibri"/>
        </w:rPr>
        <w:t>can be near-absolutely placed in calendar time</w:t>
      </w:r>
      <w:r w:rsidR="003A1A69">
        <w:rPr>
          <w:rFonts w:eastAsia="Calibri"/>
        </w:rPr>
        <w:t xml:space="preserve"> through the integration of tree-ring and radiocarbon evidence</w:t>
      </w:r>
      <w:r>
        <w:rPr>
          <w:rFonts w:eastAsia="Calibri"/>
        </w:rPr>
        <w:t xml:space="preserve">. </w:t>
      </w:r>
      <w:r w:rsidR="003A1A69">
        <w:rPr>
          <w:rFonts w:eastAsia="Calibri"/>
        </w:rPr>
        <w:t>The Middle Bronze Age</w:t>
      </w:r>
      <w:r>
        <w:rPr>
          <w:rFonts w:eastAsia="Calibri"/>
        </w:rPr>
        <w:t xml:space="preserve"> tree-ring record can be linked with </w:t>
      </w:r>
      <w:r w:rsidR="003A1A69">
        <w:rPr>
          <w:rFonts w:eastAsia="Calibri"/>
        </w:rPr>
        <w:t xml:space="preserve">the Mesopotamian </w:t>
      </w:r>
      <w:r>
        <w:rPr>
          <w:rFonts w:eastAsia="Calibri"/>
        </w:rPr>
        <w:t xml:space="preserve">text-historical </w:t>
      </w:r>
      <w:r w:rsidR="003A1A69">
        <w:rPr>
          <w:rFonts w:eastAsia="Calibri"/>
        </w:rPr>
        <w:t xml:space="preserve">world via </w:t>
      </w:r>
      <w:r>
        <w:rPr>
          <w:rFonts w:eastAsia="Calibri"/>
        </w:rPr>
        <w:t>records</w:t>
      </w:r>
      <w:r w:rsidR="003A1A69">
        <w:rPr>
          <w:rFonts w:eastAsia="Calibri"/>
        </w:rPr>
        <w:t xml:space="preserve"> found on clay tablets </w:t>
      </w:r>
      <w:r w:rsidR="003A1A69" w:rsidRPr="00FF3265">
        <w:rPr>
          <w:rFonts w:eastAsia="Calibri"/>
        </w:rPr>
        <w:t xml:space="preserve">at </w:t>
      </w:r>
      <w:r w:rsidR="003A1A69">
        <w:rPr>
          <w:rFonts w:eastAsia="Calibri"/>
        </w:rPr>
        <w:t xml:space="preserve">the sites of </w:t>
      </w:r>
      <w:proofErr w:type="spellStart"/>
      <w:r w:rsidR="003A1A69" w:rsidRPr="00FF3265">
        <w:rPr>
          <w:rFonts w:eastAsia="Calibri"/>
        </w:rPr>
        <w:t>Kültepe</w:t>
      </w:r>
      <w:proofErr w:type="spellEnd"/>
      <w:r w:rsidR="003A1A69" w:rsidRPr="00FF3265">
        <w:rPr>
          <w:rFonts w:eastAsia="Calibri"/>
        </w:rPr>
        <w:t xml:space="preserve"> and </w:t>
      </w:r>
      <w:proofErr w:type="spellStart"/>
      <w:r w:rsidR="003A1A69" w:rsidRPr="00FF3265">
        <w:rPr>
          <w:rFonts w:eastAsia="Calibri"/>
        </w:rPr>
        <w:t>Acemhöyük</w:t>
      </w:r>
      <w:proofErr w:type="spellEnd"/>
      <w:r w:rsidR="003A1A69" w:rsidRPr="00FF3265">
        <w:rPr>
          <w:rFonts w:eastAsia="Calibri"/>
        </w:rPr>
        <w:t xml:space="preserve"> in Turkey</w:t>
      </w:r>
      <w:r w:rsidR="003A1A69">
        <w:rPr>
          <w:rFonts w:eastAsia="Calibri"/>
        </w:rPr>
        <w:t xml:space="preserve"> –</w:t>
      </w:r>
      <w:r>
        <w:rPr>
          <w:rFonts w:eastAsia="Calibri"/>
        </w:rPr>
        <w:t xml:space="preserve"> </w:t>
      </w:r>
      <w:r w:rsidR="003A1A69">
        <w:rPr>
          <w:rFonts w:eastAsia="Calibri"/>
        </w:rPr>
        <w:t>and so offers the ability to offer closely defined dates for ~</w:t>
      </w:r>
      <w:r>
        <w:rPr>
          <w:rFonts w:eastAsia="Calibri"/>
        </w:rPr>
        <w:t>500 years of A</w:t>
      </w:r>
      <w:r w:rsidRPr="00FF3265">
        <w:rPr>
          <w:rFonts w:eastAsia="Calibri"/>
        </w:rPr>
        <w:t xml:space="preserve">ncient Near Eastern history from the earlier second millennium BC, including </w:t>
      </w:r>
      <w:r>
        <w:rPr>
          <w:rFonts w:eastAsia="Calibri"/>
        </w:rPr>
        <w:t>such pivotal figures as Hammurab</w:t>
      </w:r>
      <w:r w:rsidRPr="00FF3265">
        <w:rPr>
          <w:rFonts w:eastAsia="Calibri"/>
        </w:rPr>
        <w:t>i of B</w:t>
      </w:r>
      <w:r>
        <w:rPr>
          <w:rFonts w:eastAsia="Calibri"/>
        </w:rPr>
        <w:t xml:space="preserve">abylon, </w:t>
      </w:r>
      <w:proofErr w:type="spellStart"/>
      <w:r>
        <w:rPr>
          <w:rFonts w:eastAsia="Calibri"/>
        </w:rPr>
        <w:t>Šamši</w:t>
      </w:r>
      <w:proofErr w:type="spellEnd"/>
      <w:r>
        <w:rPr>
          <w:rFonts w:eastAsia="Calibri"/>
        </w:rPr>
        <w:t xml:space="preserve">-Adad I (who </w:t>
      </w:r>
      <w:r w:rsidRPr="00EB1619">
        <w:rPr>
          <w:rFonts w:eastAsia="Calibri"/>
        </w:rPr>
        <w:t xml:space="preserve">conquered </w:t>
      </w:r>
      <w:proofErr w:type="spellStart"/>
      <w:r w:rsidRPr="00EB1619">
        <w:rPr>
          <w:rFonts w:eastAsia="Calibri"/>
        </w:rPr>
        <w:t>A</w:t>
      </w:r>
      <w:r>
        <w:rPr>
          <w:rFonts w:eastAsia="Calibri"/>
        </w:rPr>
        <w:t>šš</w:t>
      </w:r>
      <w:r w:rsidRPr="00EB1619">
        <w:rPr>
          <w:rFonts w:eastAsia="Calibri"/>
        </w:rPr>
        <w:t>ur</w:t>
      </w:r>
      <w:proofErr w:type="spellEnd"/>
      <w:r w:rsidRPr="00EB1619">
        <w:rPr>
          <w:rFonts w:eastAsia="Calibri"/>
        </w:rPr>
        <w:t xml:space="preserve">) </w:t>
      </w:r>
      <w:r w:rsidRPr="00FF3265">
        <w:rPr>
          <w:rFonts w:eastAsia="Calibri"/>
        </w:rPr>
        <w:t xml:space="preserve">and </w:t>
      </w:r>
      <w:proofErr w:type="spellStart"/>
      <w:r>
        <w:rPr>
          <w:rFonts w:eastAsia="Calibri"/>
        </w:rPr>
        <w:t>Zimrilim</w:t>
      </w:r>
      <w:proofErr w:type="spellEnd"/>
      <w:r>
        <w:rPr>
          <w:rFonts w:eastAsia="Calibri"/>
        </w:rPr>
        <w:t xml:space="preserve"> of Ma</w:t>
      </w:r>
      <w:r w:rsidR="003A1A69">
        <w:rPr>
          <w:rFonts w:eastAsia="Calibri"/>
        </w:rPr>
        <w:t>ri. This historical period has otherwise floated</w:t>
      </w:r>
      <w:r w:rsidRPr="00FF3265">
        <w:rPr>
          <w:rFonts w:eastAsia="Calibri"/>
        </w:rPr>
        <w:t xml:space="preserve"> in calendar time subject to rival chronological schemes</w:t>
      </w:r>
      <w:r w:rsidR="003A1A69">
        <w:rPr>
          <w:rFonts w:eastAsia="Calibri"/>
        </w:rPr>
        <w:t xml:space="preserve"> (High, Middle, Low, New, etc.)</w:t>
      </w:r>
      <w:r w:rsidRPr="00FF3265">
        <w:rPr>
          <w:rFonts w:eastAsia="Calibri"/>
        </w:rPr>
        <w:t xml:space="preserve"> as much as 150+ years apart</w:t>
      </w:r>
      <w:r w:rsidR="003A1A69">
        <w:rPr>
          <w:rFonts w:eastAsia="Calibri"/>
        </w:rPr>
        <w:t xml:space="preserve"> just in recent scholarship. The work presented </w:t>
      </w:r>
      <w:r w:rsidRPr="00FF3265">
        <w:rPr>
          <w:rFonts w:eastAsia="Calibri"/>
        </w:rPr>
        <w:t xml:space="preserve">provides a </w:t>
      </w:r>
      <w:r w:rsidR="003A1A69">
        <w:rPr>
          <w:rFonts w:eastAsia="Calibri"/>
        </w:rPr>
        <w:t xml:space="preserve">robust </w:t>
      </w:r>
      <w:r w:rsidRPr="00FE51CE">
        <w:rPr>
          <w:rFonts w:eastAsia="Calibri"/>
        </w:rPr>
        <w:t>resolution</w:t>
      </w:r>
      <w:r w:rsidRPr="00FF3265">
        <w:rPr>
          <w:rFonts w:eastAsia="Calibri"/>
        </w:rPr>
        <w:t xml:space="preserve"> to a century of uncertainty in Mesopotamian chronology</w:t>
      </w:r>
      <w:r>
        <w:rPr>
          <w:rFonts w:eastAsia="Calibri"/>
        </w:rPr>
        <w:t>, and</w:t>
      </w:r>
      <w:r w:rsidR="003A1A69">
        <w:rPr>
          <w:rFonts w:eastAsia="Calibri"/>
        </w:rPr>
        <w:t xml:space="preserve"> offers</w:t>
      </w:r>
      <w:r w:rsidRPr="00FF3265">
        <w:rPr>
          <w:rFonts w:eastAsia="Calibri"/>
        </w:rPr>
        <w:t xml:space="preserve"> a secure basis for </w:t>
      </w:r>
      <w:r w:rsidR="003A1A69">
        <w:rPr>
          <w:rFonts w:eastAsia="Calibri"/>
        </w:rPr>
        <w:t xml:space="preserve">the </w:t>
      </w:r>
      <w:r w:rsidRPr="00FF3265">
        <w:rPr>
          <w:rFonts w:eastAsia="Calibri"/>
        </w:rPr>
        <w:t>construction of a coherent timeframe and history across the Near East and East Mediterranean in th</w:t>
      </w:r>
      <w:r w:rsidR="003A1A69">
        <w:rPr>
          <w:rFonts w:eastAsia="Calibri"/>
        </w:rPr>
        <w:t>e earlier second millennium BC.</w:t>
      </w:r>
    </w:p>
    <w:p w:rsidR="00E20BD8" w:rsidRDefault="00E20BD8">
      <w:bookmarkStart w:id="0" w:name="_GoBack"/>
      <w:bookmarkEnd w:id="0"/>
    </w:p>
    <w:sectPr w:rsidR="00E20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B16"/>
    <w:rsid w:val="000F29EF"/>
    <w:rsid w:val="001C10C8"/>
    <w:rsid w:val="003A1A69"/>
    <w:rsid w:val="0041405A"/>
    <w:rsid w:val="007C1B16"/>
    <w:rsid w:val="00C02E30"/>
    <w:rsid w:val="00D217E9"/>
    <w:rsid w:val="00DB1E35"/>
    <w:rsid w:val="00E2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7C1B16"/>
    <w:pPr>
      <w:spacing w:before="120" w:after="0" w:line="240" w:lineRule="auto"/>
      <w:ind w:firstLine="720"/>
    </w:pPr>
    <w:rPr>
      <w:rFonts w:ascii="Times New Roman" w:eastAsia="Times New Roman" w:hAnsi="Times New Roman" w:cs="Times New Roman"/>
      <w:sz w:val="24"/>
      <w:szCs w:val="24"/>
    </w:rPr>
  </w:style>
  <w:style w:type="paragraph" w:styleId="StandardWeb">
    <w:name w:val="Normal (Web)"/>
    <w:basedOn w:val="Standard"/>
    <w:uiPriority w:val="99"/>
    <w:semiHidden/>
    <w:unhideWhenUsed/>
    <w:rsid w:val="007C1B1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7C1B16"/>
    <w:pPr>
      <w:spacing w:before="120" w:after="0" w:line="240" w:lineRule="auto"/>
      <w:ind w:firstLine="720"/>
    </w:pPr>
    <w:rPr>
      <w:rFonts w:ascii="Times New Roman" w:eastAsia="Times New Roman" w:hAnsi="Times New Roman" w:cs="Times New Roman"/>
      <w:sz w:val="24"/>
      <w:szCs w:val="24"/>
    </w:rPr>
  </w:style>
  <w:style w:type="paragraph" w:styleId="StandardWeb">
    <w:name w:val="Normal (Web)"/>
    <w:basedOn w:val="Standard"/>
    <w:uiPriority w:val="99"/>
    <w:semiHidden/>
    <w:unhideWhenUsed/>
    <w:rsid w:val="007C1B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5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1898</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Sturt Manning</dc:creator>
  <cp:lastModifiedBy>wild</cp:lastModifiedBy>
  <cp:revision>2</cp:revision>
  <dcterms:created xsi:type="dcterms:W3CDTF">2016-04-13T15:16:00Z</dcterms:created>
  <dcterms:modified xsi:type="dcterms:W3CDTF">2016-04-13T15:16:00Z</dcterms:modified>
</cp:coreProperties>
</file>